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85pt;margin-top:542.5pt;width:496.4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36.85pt;margin-top:542.5pt;width:0;height:61.55pt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36.85pt;margin-top:604.05pt;width:496.4pt;height:0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533.25pt;margin-top:542.5pt;width:0;height:61.55pt;z-index:-251658240;mso-position-horizontal-relative:page;mso-position-vertical-relative:page">
            <v:stroke weight="0.9pt"/>
          </v:shape>
        </w:pict>
      </w:r>
      <w:r>
        <w:pict>
          <v:shape o:spt="32" o:oned="1" path="m,l21600,21600e" style="position:absolute;margin-left:291.9pt;margin-top:542.7pt;width:0;height:61.35pt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377.05pt;margin-top:542.7pt;width:0;height:61.55pt;z-index:-251658240;mso-position-horizontal-relative:page;mso-position-vertical-relative:page">
            <v:stroke weight="0.7pt"/>
          </v:shape>
        </w:pict>
      </w:r>
    </w:p>
    <w:p>
      <w:pPr>
        <w:pStyle w:val="Style3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Извещение</w:t>
      </w:r>
    </w:p>
    <w:p>
      <w:pPr>
        <w:pStyle w:val="Style3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об утверждении результатов определения государственной кадастровой стоимости земельных участков, учтенных в Едином реестре недвижимости</w:t>
      </w:r>
    </w:p>
    <w:p>
      <w:pPr>
        <w:pStyle w:val="Style3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spacing w:before="0" w:after="243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на территории Республики Дагестан</w:t>
      </w:r>
    </w:p>
    <w:p>
      <w:pPr>
        <w:pStyle w:val="Style5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20" w:firstLine="98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В соответствии с Федеральным законом от 3 июля 2016 г. № 237-ФЗ «О государственной кадастровой оценке»,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и </w:t>
      </w:r>
      <w:r>
        <w:rPr>
          <w:rStyle w:val="CharStyle7"/>
        </w:rPr>
        <w:t xml:space="preserve">приказом Министерства по земельным и имущественным отношениям Республики Дагестан от 11 ноября 2022 г. № 204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утверждены результаты определения государственной кадастровой стоимости земельных участков, учтенных в Едином реестре недвижимости на территории Республики Дагестан.</w:t>
      </w:r>
    </w:p>
    <w:p>
      <w:pPr>
        <w:pStyle w:val="Style5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2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Указанный приказ размещен на официальном сайте Министерства по земельным и имущественным отношениям Республики Дагестан </w:t>
      </w:r>
      <w:r>
        <w:fldChar w:fldCharType="begin"/>
      </w:r>
      <w:r>
        <w:rPr>
          <w:rStyle w:val="CharStyle8"/>
        </w:rPr>
        <w:instrText> HYPERLINK "http://estate-rd.ru" </w:instrText>
      </w:r>
      <w:r>
        <w:fldChar w:fldCharType="separate"/>
      </w:r>
      <w:r>
        <w:rPr>
          <w:rStyle w:val="Hyperlink"/>
        </w:rPr>
        <w:t>http://estate-rd.ru</w:t>
      </w:r>
      <w:r>
        <w:fldChar w:fldCharType="end"/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в разделе «Деятельность»/ «Государственная кадастровая оценка» и официальном интернет-портале правовой информации </w:t>
      </w:r>
      <w:r>
        <w:fldChar w:fldCharType="begin"/>
      </w:r>
      <w:r>
        <w:rPr>
          <w:color w:val="000000"/>
        </w:rPr>
        <w:instrText> HYPERLINK "http://www.pravo.e-dag.ru" </w:instrText>
      </w:r>
      <w:r>
        <w:fldChar w:fldCharType="separate"/>
      </w:r>
      <w:r>
        <w:rPr>
          <w:rStyle w:val="Hyperlink"/>
          <w:lang w:val="en-US" w:eastAsia="en-US" w:bidi="en-US"/>
          <w:sz w:val="24"/>
          <w:szCs w:val="24"/>
          <w:w w:val="100"/>
          <w:position w:val="0"/>
        </w:rPr>
        <w:t>http://www.pravo.e-dag.ru</w:t>
      </w:r>
      <w:r>
        <w:fldChar w:fldCharType="end"/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(№ 05032010009 от 18 ноября 2022 г.).</w:t>
      </w:r>
    </w:p>
    <w:p>
      <w:pPr>
        <w:pStyle w:val="Style5"/>
        <w:framePr w:w="9940" w:h="10066" w:hRule="exact" w:wrap="around" w:vAnchor="page" w:hAnchor="page" w:x="734" w:y="512"/>
        <w:tabs>
          <w:tab w:leader="none" w:pos="992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Рассмотрение заявлений об исправлении ошибок,</w:t>
        <w:tab/>
        <w:t>допущенных при</w:t>
      </w:r>
    </w:p>
    <w:p>
      <w:pPr>
        <w:pStyle w:val="Style5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определении кадастровой стоимости (далее - обращения) осуществляет ГБУ РД «Дагтехкадастр» в порядке, регламентируемом статьей 21 Федерального закона от 3 июля 2016 г. № 237-ФЗ «О государственной кадастровой оценке».</w:t>
      </w:r>
    </w:p>
    <w:p>
      <w:pPr>
        <w:pStyle w:val="Style5"/>
        <w:framePr w:w="9940" w:h="10066" w:hRule="exact" w:wrap="around" w:vAnchor="page" w:hAnchor="page" w:x="734" w:y="512"/>
        <w:tabs>
          <w:tab w:leader="none" w:pos="7579" w:val="right"/>
          <w:tab w:leader="none" w:pos="992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Заявления</w:t>
        <w:tab/>
        <w:t>об исправлении ошибок, допущенных</w:t>
        <w:tab/>
        <w:t>при определении</w:t>
      </w:r>
    </w:p>
    <w:p>
      <w:pPr>
        <w:pStyle w:val="Style5"/>
        <w:framePr w:w="9940" w:h="10066" w:hRule="exact" w:wrap="around" w:vAnchor="page" w:hAnchor="page" w:x="734" w:y="512"/>
        <w:tabs>
          <w:tab w:leader="none" w:pos="7579" w:val="right"/>
          <w:tab w:leader="none" w:pos="992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кадастровой стоимости, подается в ГБУ РД «Дагтехкадастр» по адресу: 367000, г. Махачкала, ул. Абубукарова 18А или многофункциональный центр лично, регистрируемым</w:t>
        <w:tab/>
        <w:t>почтовым отправлением с уведомлением</w:t>
        <w:tab/>
        <w:t>о вручении или с</w:t>
      </w:r>
    </w:p>
    <w:p>
      <w:pPr>
        <w:pStyle w:val="Style5"/>
        <w:framePr w:w="9940" w:h="10066" w:hRule="exact" w:wrap="around" w:vAnchor="page" w:hAnchor="page" w:x="734" w:y="512"/>
        <w:tabs>
          <w:tab w:leader="none" w:pos="7579" w:val="right"/>
          <w:tab w:leader="none" w:pos="992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использованием</w:t>
        <w:tab/>
        <w:t>информационно-телекоммуникационных</w:t>
        <w:tab/>
        <w:t>сетей общего</w:t>
      </w:r>
    </w:p>
    <w:p>
      <w:pPr>
        <w:pStyle w:val="Style5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jc w:val="both"/>
        <w:spacing w:before="0" w:after="307" w:line="324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пользования, в том числе сети «Интернет»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>(e-mail:</w:t>
      </w:r>
      <w:r>
        <w:fldChar w:fldCharType="begin"/>
      </w:r>
      <w:r>
        <w:rPr>
          <w:color w:val="000000"/>
        </w:rPr>
        <w:instrText> HYPERLINK "mailto:zgko@dagbti.com" </w:instrText>
      </w:r>
      <w:r>
        <w:fldChar w:fldCharType="separate"/>
      </w:r>
      <w:r>
        <w:rPr>
          <w:rStyle w:val="Hyperlink"/>
          <w:lang w:val="en-US" w:eastAsia="en-US" w:bidi="en-US"/>
          <w:sz w:val="24"/>
          <w:szCs w:val="24"/>
          <w:w w:val="100"/>
          <w:position w:val="0"/>
        </w:rPr>
        <w:t>zgko@dagbti.com</w:t>
      </w:r>
      <w:r>
        <w:fldChar w:fldCharType="end"/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),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включая портал государственных и муниципальных услуг.</w:t>
      </w:r>
    </w:p>
    <w:p>
      <w:pPr>
        <w:pStyle w:val="Style3"/>
        <w:framePr w:w="9940" w:h="10066" w:hRule="exact" w:wrap="around" w:vAnchor="page" w:hAnchor="page" w:x="734" w:y="51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6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Порядок подачи заявлений</w:t>
      </w:r>
    </w:p>
    <w:p>
      <w:pPr>
        <w:pStyle w:val="Style9"/>
        <w:framePr w:w="5008" w:h="1177" w:hRule="exact" w:wrap="around" w:vAnchor="page" w:hAnchor="page" w:x="788" w:y="10863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120"/>
      </w:pPr>
      <w:r>
        <w:rPr>
          <w:lang w:val="ru-RU" w:eastAsia="ru-RU" w:bidi="ru-RU"/>
          <w:w w:val="100"/>
          <w:color w:val="000000"/>
          <w:position w:val="0"/>
        </w:rPr>
        <w:t xml:space="preserve">1. Скачайте форму заявления об исправлении ошибки (на официальном сайте ГБУ РД «Дагтехкадастр» </w:t>
      </w:r>
      <w:r>
        <w:rPr>
          <w:rStyle w:val="CharStyle11"/>
          <w:lang w:val="en-US" w:eastAsia="en-US" w:bidi="en-US"/>
        </w:rPr>
        <w:t xml:space="preserve">https </w:t>
      </w:r>
      <w:r>
        <w:rPr>
          <w:rStyle w:val="CharStyle11"/>
        </w:rPr>
        <w:t>://дагбти.рф</w:t>
      </w:r>
      <w:r>
        <w:rPr>
          <w:lang w:val="ru-RU" w:eastAsia="ru-RU" w:bidi="ru-RU"/>
          <w:w w:val="100"/>
          <w:color w:val="000000"/>
          <w:position w:val="0"/>
        </w:rPr>
        <w:t xml:space="preserve"> в разделе «Кадастровая оценка»)</w:t>
      </w:r>
    </w:p>
    <w:p>
      <w:pPr>
        <w:pStyle w:val="Style9"/>
        <w:framePr w:w="1411" w:h="605" w:hRule="exact" w:wrap="around" w:vAnchor="page" w:hAnchor="page" w:x="6033" w:y="1116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40" w:right="0" w:firstLine="0"/>
      </w:pPr>
      <w:r>
        <w:rPr>
          <w:lang w:val="ru-RU" w:eastAsia="ru-RU" w:bidi="ru-RU"/>
          <w:w w:val="100"/>
          <w:color w:val="000000"/>
          <w:position w:val="0"/>
        </w:rPr>
        <w:t>2. Заполните заявление</w:t>
      </w:r>
    </w:p>
    <w:p>
      <w:pPr>
        <w:pStyle w:val="Style9"/>
        <w:framePr w:w="2563" w:h="892" w:hRule="exact" w:wrap="around" w:vAnchor="page" w:hAnchor="page" w:x="7822" w:y="1101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3. Направьте замечание любым удобным для Вас способом</w:t>
      </w:r>
    </w:p>
    <w:p>
      <w:pPr>
        <w:pStyle w:val="Style3"/>
        <w:framePr w:w="9922" w:h="3833" w:hRule="exact" w:wrap="around" w:vAnchor="page" w:hAnchor="page" w:x="741" w:y="12500"/>
        <w:widowControl w:val="0"/>
        <w:keepNext w:val="0"/>
        <w:keepLines w:val="0"/>
        <w:shd w:val="clear" w:color="auto" w:fill="auto"/>
        <w:bidi w:val="0"/>
        <w:jc w:val="left"/>
        <w:spacing w:before="0" w:after="250" w:line="240" w:lineRule="exact"/>
        <w:ind w:left="37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Необходимые документы</w:t>
      </w:r>
    </w:p>
    <w:p>
      <w:pPr>
        <w:pStyle w:val="Style3"/>
        <w:framePr w:w="9922" w:h="3833" w:hRule="exact" w:wrap="around" w:vAnchor="page" w:hAnchor="page" w:x="741" w:y="12500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Заявление об исправлении ошибок, допущенных при определении кадастровой стоимости, должно содержать:</w:t>
      </w:r>
    </w:p>
    <w:p>
      <w:pPr>
        <w:pStyle w:val="Style5"/>
        <w:numPr>
          <w:ilvl w:val="0"/>
          <w:numId w:val="1"/>
        </w:numPr>
        <w:framePr w:w="9922" w:h="3833" w:hRule="exact" w:wrap="around" w:vAnchor="page" w:hAnchor="page" w:x="741" w:y="12500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>
      <w:pPr>
        <w:pStyle w:val="Style5"/>
        <w:numPr>
          <w:ilvl w:val="0"/>
          <w:numId w:val="1"/>
        </w:numPr>
        <w:framePr w:w="9922" w:h="3833" w:hRule="exact" w:wrap="around" w:vAnchor="page" w:hAnchor="page" w:x="741" w:y="12500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70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numPr>
          <w:ilvl w:val="0"/>
          <w:numId w:val="1"/>
        </w:numPr>
        <w:framePr w:w="9929" w:h="3956" w:hRule="exact" w:wrap="around" w:vAnchor="page" w:hAnchor="page" w:x="992" w:y="627"/>
        <w:tabs>
          <w:tab w:leader="none" w:pos="2555" w:val="left"/>
          <w:tab w:leader="none" w:pos="2984" w:val="left"/>
          <w:tab w:leader="none" w:pos="6023" w:val="left"/>
          <w:tab w:leader="none" w:pos="5891" w:val="left"/>
          <w:tab w:leader="none" w:pos="7671" w:val="left"/>
          <w:tab w:leader="none" w:pos="9912" w:val="right"/>
          <w:tab w:leader="none" w:pos="11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7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указание</w:t>
        <w:tab/>
        <w:t>на</w:t>
        <w:tab/>
        <w:t>содержание</w:t>
        <w:tab/>
        <w:t>ошибок,</w:t>
        <w:tab/>
        <w:t>допущенных</w:t>
        <w:tab/>
        <w:t>при</w:t>
        <w:tab/>
        <w:t>определении</w:t>
      </w:r>
    </w:p>
    <w:p>
      <w:pPr>
        <w:pStyle w:val="Style5"/>
        <w:framePr w:w="9929" w:h="3956" w:hRule="exact" w:wrap="around" w:vAnchor="page" w:hAnchor="page" w:x="992" w:y="627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>
      <w:pPr>
        <w:pStyle w:val="Style5"/>
        <w:framePr w:w="9929" w:h="3956" w:hRule="exact" w:wrap="around" w:vAnchor="page" w:hAnchor="page" w:x="992" w:y="627"/>
        <w:tabs>
          <w:tab w:leader="none" w:pos="2555" w:val="left"/>
          <w:tab w:leader="none" w:pos="3035" w:val="left"/>
          <w:tab w:leader="none" w:pos="5824" w:val="right"/>
          <w:tab w:leader="none" w:pos="6030" w:val="left"/>
          <w:tab w:leader="none" w:pos="7744" w:val="left"/>
          <w:tab w:leader="none" w:pos="991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7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заявлению</w:t>
        <w:tab/>
        <w:t>об</w:t>
        <w:tab/>
        <w:t>исправлении</w:t>
        <w:tab/>
        <w:t>ошибок,</w:t>
        <w:tab/>
        <w:t>допущенных</w:t>
        <w:tab/>
        <w:t>при</w:t>
        <w:tab/>
        <w:t>определении</w:t>
      </w:r>
    </w:p>
    <w:p>
      <w:pPr>
        <w:pStyle w:val="Style5"/>
        <w:framePr w:w="9929" w:h="3956" w:hRule="exact" w:wrap="around" w:vAnchor="page" w:hAnchor="page" w:x="992" w:y="627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кадастровой стоимости, по желанию заявителя могут быть приложены документы, подтверждающие наличие указанных ошибок. Истребование иных документов, не предусмотренных настоящей статьей, не допускается.</w:t>
      </w:r>
    </w:p>
    <w:p>
      <w:pPr>
        <w:pStyle w:val="Style5"/>
        <w:framePr w:w="9929" w:h="3956" w:hRule="exact" w:wrap="around" w:vAnchor="page" w:hAnchor="page" w:x="992" w:y="627"/>
        <w:tabs>
          <w:tab w:leader="none" w:pos="2555" w:val="left"/>
          <w:tab w:leader="none" w:pos="3031" w:val="left"/>
          <w:tab w:leader="none" w:pos="5824" w:val="right"/>
          <w:tab w:leader="none" w:pos="6030" w:val="left"/>
          <w:tab w:leader="none" w:pos="7740" w:val="left"/>
          <w:tab w:leader="none" w:pos="9912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7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 заявлению</w:t>
        <w:tab/>
        <w:t>об</w:t>
        <w:tab/>
        <w:t>исправлении</w:t>
        <w:tab/>
        <w:t>ошибок,</w:t>
        <w:tab/>
        <w:t>допущенных</w:t>
        <w:tab/>
        <w:t>при</w:t>
        <w:tab/>
        <w:t>определении</w:t>
      </w:r>
    </w:p>
    <w:p>
      <w:pPr>
        <w:pStyle w:val="Style5"/>
        <w:framePr w:w="9929" w:h="3956" w:hRule="exact" w:wrap="around" w:vAnchor="page" w:hAnchor="page" w:x="992" w:y="627"/>
        <w:tabs>
          <w:tab w:leader="none" w:pos="3112" w:val="left"/>
          <w:tab w:leader="none" w:pos="5824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кадастровой стоимости,</w:t>
        <w:tab/>
        <w:t>могут быть</w:t>
        <w:tab/>
        <w:t>приложены иные документы, содержащие</w:t>
      </w:r>
    </w:p>
    <w:p>
      <w:pPr>
        <w:pStyle w:val="Style5"/>
        <w:framePr w:w="9929" w:h="3956" w:hRule="exact" w:wrap="around" w:vAnchor="page" w:hAnchor="page" w:x="992" w:y="627"/>
        <w:widowControl w:val="0"/>
        <w:keepNext w:val="0"/>
        <w:keepLines w:val="0"/>
        <w:shd w:val="clear" w:color="auto" w:fill="auto"/>
        <w:bidi w:val="0"/>
        <w:jc w:val="both"/>
        <w:spacing w:before="0" w:after="0" w:line="32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сведения о характеристиках объекта недвижимости.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1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5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0"/>
    </w:rPr>
  </w:style>
  <w:style w:type="character" w:customStyle="1" w:styleId="CharStyle7">
    <w:name w:val="Основной текст + Полужирный,Интервал 0 pt"/>
    <w:basedOn w:val="CharStyle6"/>
    <w:rPr>
      <w:lang w:val="ru-RU" w:eastAsia="ru-RU" w:bidi="ru-RU"/>
      <w:b/>
      <w:bCs/>
      <w:sz w:val="24"/>
      <w:szCs w:val="24"/>
      <w:w w:val="100"/>
      <w:spacing w:val="6"/>
      <w:color w:val="000000"/>
      <w:position w:val="0"/>
    </w:rPr>
  </w:style>
  <w:style w:type="character" w:customStyle="1" w:styleId="CharStyle8">
    <w:name w:val="Основной текст"/>
    <w:basedOn w:val="CharStyle6"/>
    <w:rPr>
      <w:lang w:val="en-US" w:eastAsia="en-US" w:bidi="en-US"/>
      <w:u w:val="single"/>
      <w:sz w:val="24"/>
      <w:szCs w:val="24"/>
      <w:w w:val="100"/>
      <w:color w:val="000000"/>
      <w:position w:val="0"/>
    </w:rPr>
  </w:style>
  <w:style w:type="character" w:customStyle="1" w:styleId="CharStyle10">
    <w:name w:val="Основной текст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8"/>
    </w:rPr>
  </w:style>
  <w:style w:type="character" w:customStyle="1" w:styleId="CharStyle11">
    <w:name w:val="Основной текст (3)"/>
    <w:basedOn w:val="CharStyle10"/>
    <w:rPr>
      <w:lang w:val="ru-RU" w:eastAsia="ru-RU" w:bidi="ru-RU"/>
      <w:u w:val="single"/>
      <w:w w:val="100"/>
      <w:color w:val="000000"/>
      <w:position w:val="0"/>
    </w:rPr>
  </w:style>
  <w:style w:type="paragraph" w:customStyle="1" w:styleId="Style3">
    <w:name w:val="Основной текст (5)"/>
    <w:basedOn w:val="Normal"/>
    <w:link w:val="CharStyle4"/>
    <w:pPr>
      <w:widowControl w:val="0"/>
      <w:shd w:val="clear" w:color="auto" w:fill="FFFFFF"/>
      <w:jc w:val="center"/>
      <w:spacing w:line="32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6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before="360" w:line="335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10"/>
    </w:rPr>
  </w:style>
  <w:style w:type="paragraph" w:customStyle="1" w:styleId="Style9">
    <w:name w:val="Основной текст (3)"/>
    <w:basedOn w:val="Normal"/>
    <w:link w:val="CharStyle10"/>
    <w:pPr>
      <w:widowControl w:val="0"/>
      <w:shd w:val="clear" w:color="auto" w:fill="FFFFFF"/>
      <w:spacing w:before="360" w:line="27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8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